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85331" w14:textId="77777777" w:rsidR="002879C3" w:rsidRPr="00935D0B" w:rsidRDefault="002879C3" w:rsidP="00935D0B">
      <w:pPr>
        <w:shd w:val="clear" w:color="auto" w:fill="FFFFFF" w:themeFill="background1"/>
        <w:spacing w:after="0" w:line="240" w:lineRule="auto"/>
        <w:rPr>
          <w:rFonts w:ascii="Arial" w:eastAsia="Times New Roman" w:hAnsi="Arial" w:cs="Arial"/>
          <w:color w:val="140906"/>
          <w:sz w:val="32"/>
          <w:szCs w:val="32"/>
        </w:rPr>
      </w:pPr>
      <w:r w:rsidRPr="00935D0B">
        <w:rPr>
          <w:rFonts w:ascii="Arial" w:eastAsia="Times New Roman" w:hAnsi="Arial" w:cs="Arial"/>
          <w:color w:val="140906"/>
          <w:sz w:val="32"/>
          <w:szCs w:val="32"/>
          <w:rtl/>
        </w:rPr>
        <w:t>نظام التنظيم الإداري لهيئة الأوراق المالية رقم 95 لسنة 2021</w:t>
      </w:r>
    </w:p>
    <w:p w14:paraId="67E9C7B7" w14:textId="77777777" w:rsidR="002879C3" w:rsidRPr="00935D0B" w:rsidRDefault="002879C3" w:rsidP="00935D0B">
      <w:pPr>
        <w:shd w:val="clear" w:color="auto" w:fill="FFFFFF" w:themeFill="background1"/>
        <w:spacing w:after="0" w:line="240" w:lineRule="auto"/>
        <w:rPr>
          <w:rFonts w:ascii="Arial" w:eastAsia="Times New Roman" w:hAnsi="Arial" w:cs="Arial"/>
          <w:color w:val="2F2522"/>
          <w:sz w:val="28"/>
          <w:szCs w:val="28"/>
        </w:rPr>
      </w:pP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tl/>
        </w:rPr>
        <w:t>المادة 1</w:t>
      </w: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1BE15997" w14:textId="77777777" w:rsidTr="002879C3">
        <w:trPr>
          <w:jc w:val="right"/>
        </w:trPr>
        <w:tc>
          <w:tcPr>
            <w:tcW w:w="0" w:type="auto"/>
            <w:shd w:val="clear" w:color="auto" w:fill="auto"/>
            <w:vAlign w:val="center"/>
            <w:hideMark/>
          </w:tcPr>
          <w:p w14:paraId="0E9F99F1" w14:textId="77777777" w:rsidR="002879C3" w:rsidRPr="00935D0B" w:rsidRDefault="002879C3" w:rsidP="002879C3">
            <w:pPr>
              <w:spacing w:after="0" w:line="240" w:lineRule="auto"/>
              <w:divId w:val="1939679219"/>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يسمى هـذا النظـام (نظام التنظيم الإداري لهيئة الأوراق المالية لسنة 2021) ويعمل به من تاريخ نشره في الجريدة الرسمية</w:t>
            </w:r>
            <w:r w:rsidRPr="00935D0B">
              <w:rPr>
                <w:rFonts w:ascii="Times New Roman" w:eastAsia="Times New Roman" w:hAnsi="Times New Roman" w:cs="Times New Roman"/>
                <w:sz w:val="28"/>
                <w:szCs w:val="28"/>
              </w:rPr>
              <w:t>.</w:t>
            </w:r>
          </w:p>
        </w:tc>
      </w:tr>
    </w:tbl>
    <w:p w14:paraId="2F36C1AF" w14:textId="77777777" w:rsidR="002879C3" w:rsidRPr="00935D0B" w:rsidRDefault="002879C3" w:rsidP="00935D0B">
      <w:pPr>
        <w:shd w:val="clear" w:color="auto" w:fill="FFFFFF" w:themeFill="background1"/>
        <w:spacing w:after="0" w:line="240" w:lineRule="auto"/>
        <w:rPr>
          <w:rFonts w:ascii="Arial" w:eastAsia="Times New Roman" w:hAnsi="Arial" w:cs="Arial"/>
          <w:color w:val="2F2522"/>
          <w:sz w:val="28"/>
          <w:szCs w:val="28"/>
        </w:rPr>
      </w:pP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tl/>
        </w:rPr>
        <w:t>المادة 2</w:t>
      </w: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6712C1D5" w14:textId="77777777" w:rsidTr="002879C3">
        <w:trPr>
          <w:jc w:val="right"/>
        </w:trPr>
        <w:tc>
          <w:tcPr>
            <w:tcW w:w="0" w:type="auto"/>
            <w:shd w:val="clear" w:color="auto" w:fill="auto"/>
            <w:vAlign w:val="center"/>
            <w:hideMark/>
          </w:tcPr>
          <w:p w14:paraId="62B12985"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يكون للكلمات التالية حيثما وردت في هذا النظام المعاني المخصصة لها أدناه ما لم تدل القرينة على غير ذلك</w:t>
            </w:r>
            <w:r w:rsidRPr="00935D0B">
              <w:rPr>
                <w:rFonts w:ascii="Times New Roman" w:eastAsia="Times New Roman" w:hAnsi="Times New Roman" w:cs="Times New Roman"/>
                <w:sz w:val="28"/>
                <w:szCs w:val="28"/>
              </w:rPr>
              <w:t>:-</w:t>
            </w:r>
          </w:p>
          <w:tbl>
            <w:tblPr>
              <w:tblW w:w="5000" w:type="pct"/>
              <w:tblCellMar>
                <w:top w:w="45" w:type="dxa"/>
                <w:left w:w="45" w:type="dxa"/>
                <w:bottom w:w="45" w:type="dxa"/>
                <w:right w:w="45" w:type="dxa"/>
              </w:tblCellMar>
              <w:tblLook w:val="04A0" w:firstRow="1" w:lastRow="0" w:firstColumn="1" w:lastColumn="0" w:noHBand="0" w:noVBand="1"/>
            </w:tblPr>
            <w:tblGrid>
              <w:gridCol w:w="2879"/>
              <w:gridCol w:w="269"/>
              <w:gridCol w:w="5158"/>
            </w:tblGrid>
            <w:tr w:rsidR="002879C3" w:rsidRPr="00935D0B" w14:paraId="4DEA154A" w14:textId="77777777" w:rsidTr="00935D0B">
              <w:tc>
                <w:tcPr>
                  <w:tcW w:w="1733" w:type="pct"/>
                  <w:shd w:val="clear" w:color="auto" w:fill="auto"/>
                  <w:tcMar>
                    <w:top w:w="0" w:type="dxa"/>
                    <w:left w:w="0" w:type="dxa"/>
                    <w:bottom w:w="0" w:type="dxa"/>
                    <w:right w:w="0" w:type="dxa"/>
                  </w:tcMar>
                  <w:vAlign w:val="center"/>
                  <w:hideMark/>
                </w:tcPr>
                <w:p w14:paraId="4192B014"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الهيئة</w:t>
                  </w:r>
                </w:p>
              </w:tc>
              <w:tc>
                <w:tcPr>
                  <w:tcW w:w="162" w:type="pct"/>
                  <w:shd w:val="clear" w:color="auto" w:fill="auto"/>
                  <w:tcMar>
                    <w:top w:w="0" w:type="dxa"/>
                    <w:left w:w="0" w:type="dxa"/>
                    <w:bottom w:w="0" w:type="dxa"/>
                    <w:right w:w="0" w:type="dxa"/>
                  </w:tcMar>
                  <w:vAlign w:val="center"/>
                  <w:hideMark/>
                </w:tcPr>
                <w:p w14:paraId="3379C429"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Pr>
                    <w:t>: </w:t>
                  </w:r>
                </w:p>
              </w:tc>
              <w:tc>
                <w:tcPr>
                  <w:tcW w:w="3105" w:type="pct"/>
                  <w:shd w:val="clear" w:color="auto" w:fill="auto"/>
                  <w:tcMar>
                    <w:top w:w="0" w:type="dxa"/>
                    <w:left w:w="0" w:type="dxa"/>
                    <w:bottom w:w="0" w:type="dxa"/>
                    <w:right w:w="0" w:type="dxa"/>
                  </w:tcMar>
                  <w:vAlign w:val="center"/>
                  <w:hideMark/>
                </w:tcPr>
                <w:p w14:paraId="61672B04"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هيئة الأوراق المالية</w:t>
                  </w:r>
                  <w:r w:rsidRPr="00935D0B">
                    <w:rPr>
                      <w:rFonts w:ascii="Times New Roman" w:eastAsia="Times New Roman" w:hAnsi="Times New Roman" w:cs="Times New Roman"/>
                      <w:sz w:val="28"/>
                      <w:szCs w:val="28"/>
                    </w:rPr>
                    <w:t>.</w:t>
                  </w:r>
                </w:p>
              </w:tc>
            </w:tr>
            <w:tr w:rsidR="002879C3" w:rsidRPr="00935D0B" w14:paraId="69CB11B0" w14:textId="77777777" w:rsidTr="00935D0B">
              <w:tc>
                <w:tcPr>
                  <w:tcW w:w="1733" w:type="pct"/>
                  <w:shd w:val="clear" w:color="auto" w:fill="auto"/>
                  <w:tcMar>
                    <w:top w:w="0" w:type="dxa"/>
                    <w:left w:w="0" w:type="dxa"/>
                    <w:bottom w:w="0" w:type="dxa"/>
                    <w:right w:w="0" w:type="dxa"/>
                  </w:tcMar>
                  <w:vAlign w:val="center"/>
                  <w:hideMark/>
                </w:tcPr>
                <w:p w14:paraId="283F93BF"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المجلس</w:t>
                  </w:r>
                </w:p>
              </w:tc>
              <w:tc>
                <w:tcPr>
                  <w:tcW w:w="162" w:type="pct"/>
                  <w:shd w:val="clear" w:color="auto" w:fill="auto"/>
                  <w:tcMar>
                    <w:top w:w="0" w:type="dxa"/>
                    <w:left w:w="0" w:type="dxa"/>
                    <w:bottom w:w="0" w:type="dxa"/>
                    <w:right w:w="0" w:type="dxa"/>
                  </w:tcMar>
                  <w:vAlign w:val="center"/>
                  <w:hideMark/>
                </w:tcPr>
                <w:p w14:paraId="2A13D464"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Pr>
                    <w:t>: </w:t>
                  </w:r>
                </w:p>
              </w:tc>
              <w:tc>
                <w:tcPr>
                  <w:tcW w:w="3105" w:type="pct"/>
                  <w:shd w:val="clear" w:color="auto" w:fill="auto"/>
                  <w:tcMar>
                    <w:top w:w="0" w:type="dxa"/>
                    <w:left w:w="0" w:type="dxa"/>
                    <w:bottom w:w="0" w:type="dxa"/>
                    <w:right w:w="0" w:type="dxa"/>
                  </w:tcMar>
                  <w:vAlign w:val="center"/>
                  <w:hideMark/>
                </w:tcPr>
                <w:p w14:paraId="55C7B72D"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مجلس مفوضي الهيئة</w:t>
                  </w:r>
                  <w:r w:rsidRPr="00935D0B">
                    <w:rPr>
                      <w:rFonts w:ascii="Times New Roman" w:eastAsia="Times New Roman" w:hAnsi="Times New Roman" w:cs="Times New Roman"/>
                      <w:sz w:val="28"/>
                      <w:szCs w:val="28"/>
                    </w:rPr>
                    <w:t>.</w:t>
                  </w:r>
                </w:p>
              </w:tc>
            </w:tr>
            <w:tr w:rsidR="002879C3" w:rsidRPr="00935D0B" w14:paraId="2D467582" w14:textId="77777777" w:rsidTr="00935D0B">
              <w:tc>
                <w:tcPr>
                  <w:tcW w:w="1733" w:type="pct"/>
                  <w:shd w:val="clear" w:color="auto" w:fill="auto"/>
                  <w:tcMar>
                    <w:top w:w="0" w:type="dxa"/>
                    <w:left w:w="0" w:type="dxa"/>
                    <w:bottom w:w="0" w:type="dxa"/>
                    <w:right w:w="0" w:type="dxa"/>
                  </w:tcMar>
                  <w:vAlign w:val="center"/>
                  <w:hideMark/>
                </w:tcPr>
                <w:p w14:paraId="2E726CB2"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الرئيس</w:t>
                  </w:r>
                </w:p>
              </w:tc>
              <w:tc>
                <w:tcPr>
                  <w:tcW w:w="162" w:type="pct"/>
                  <w:shd w:val="clear" w:color="auto" w:fill="auto"/>
                  <w:tcMar>
                    <w:top w:w="0" w:type="dxa"/>
                    <w:left w:w="0" w:type="dxa"/>
                    <w:bottom w:w="0" w:type="dxa"/>
                    <w:right w:w="0" w:type="dxa"/>
                  </w:tcMar>
                  <w:vAlign w:val="center"/>
                  <w:hideMark/>
                </w:tcPr>
                <w:p w14:paraId="76C0C7BF"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Pr>
                    <w:t>: </w:t>
                  </w:r>
                </w:p>
              </w:tc>
              <w:tc>
                <w:tcPr>
                  <w:tcW w:w="3105" w:type="pct"/>
                  <w:shd w:val="clear" w:color="auto" w:fill="auto"/>
                  <w:tcMar>
                    <w:top w:w="0" w:type="dxa"/>
                    <w:left w:w="0" w:type="dxa"/>
                    <w:bottom w:w="0" w:type="dxa"/>
                    <w:right w:w="0" w:type="dxa"/>
                  </w:tcMar>
                  <w:vAlign w:val="center"/>
                  <w:hideMark/>
                </w:tcPr>
                <w:p w14:paraId="5CBBD77B"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رئيس المجلس</w:t>
                  </w:r>
                  <w:r w:rsidRPr="00935D0B">
                    <w:rPr>
                      <w:rFonts w:ascii="Times New Roman" w:eastAsia="Times New Roman" w:hAnsi="Times New Roman" w:cs="Times New Roman"/>
                      <w:sz w:val="28"/>
                      <w:szCs w:val="28"/>
                    </w:rPr>
                    <w:t>.</w:t>
                  </w:r>
                </w:p>
              </w:tc>
            </w:tr>
            <w:tr w:rsidR="002879C3" w:rsidRPr="00935D0B" w14:paraId="636078A8" w14:textId="77777777" w:rsidTr="00935D0B">
              <w:tc>
                <w:tcPr>
                  <w:tcW w:w="1733" w:type="pct"/>
                  <w:shd w:val="clear" w:color="auto" w:fill="auto"/>
                  <w:tcMar>
                    <w:top w:w="0" w:type="dxa"/>
                    <w:left w:w="0" w:type="dxa"/>
                    <w:bottom w:w="0" w:type="dxa"/>
                    <w:right w:w="0" w:type="dxa"/>
                  </w:tcMar>
                  <w:vAlign w:val="center"/>
                  <w:hideMark/>
                </w:tcPr>
                <w:p w14:paraId="0316BE51"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اللجنة</w:t>
                  </w:r>
                </w:p>
              </w:tc>
              <w:tc>
                <w:tcPr>
                  <w:tcW w:w="162" w:type="pct"/>
                  <w:shd w:val="clear" w:color="auto" w:fill="auto"/>
                  <w:tcMar>
                    <w:top w:w="0" w:type="dxa"/>
                    <w:left w:w="0" w:type="dxa"/>
                    <w:bottom w:w="0" w:type="dxa"/>
                    <w:right w:w="0" w:type="dxa"/>
                  </w:tcMar>
                  <w:vAlign w:val="center"/>
                  <w:hideMark/>
                </w:tcPr>
                <w:p w14:paraId="1A8FE4D9"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Pr>
                    <w:t>: </w:t>
                  </w:r>
                </w:p>
              </w:tc>
              <w:tc>
                <w:tcPr>
                  <w:tcW w:w="3105" w:type="pct"/>
                  <w:shd w:val="clear" w:color="auto" w:fill="auto"/>
                  <w:tcMar>
                    <w:top w:w="0" w:type="dxa"/>
                    <w:left w:w="0" w:type="dxa"/>
                    <w:bottom w:w="0" w:type="dxa"/>
                    <w:right w:w="0" w:type="dxa"/>
                  </w:tcMar>
                  <w:vAlign w:val="center"/>
                  <w:hideMark/>
                </w:tcPr>
                <w:p w14:paraId="1D4B0DE3"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لجنة التخطيط والتنسيق والمتابعة المشكلة بمقتضى أحكام هذا النظام</w:t>
                  </w:r>
                  <w:r w:rsidRPr="00935D0B">
                    <w:rPr>
                      <w:rFonts w:ascii="Times New Roman" w:eastAsia="Times New Roman" w:hAnsi="Times New Roman" w:cs="Times New Roman"/>
                      <w:sz w:val="28"/>
                      <w:szCs w:val="28"/>
                    </w:rPr>
                    <w:t>.</w:t>
                  </w:r>
                </w:p>
              </w:tc>
            </w:tr>
          </w:tbl>
          <w:p w14:paraId="0701B1E8" w14:textId="77777777" w:rsidR="002879C3" w:rsidRPr="00935D0B" w:rsidRDefault="002879C3" w:rsidP="002879C3">
            <w:pPr>
              <w:spacing w:after="0" w:line="240" w:lineRule="auto"/>
              <w:rPr>
                <w:rFonts w:ascii="Times New Roman" w:eastAsia="Times New Roman" w:hAnsi="Times New Roman" w:cs="Times New Roman"/>
                <w:sz w:val="28"/>
                <w:szCs w:val="28"/>
              </w:rPr>
            </w:pPr>
          </w:p>
        </w:tc>
      </w:tr>
    </w:tbl>
    <w:p w14:paraId="55A2FD31" w14:textId="77777777" w:rsidR="002879C3" w:rsidRPr="00935D0B" w:rsidRDefault="002879C3" w:rsidP="00935D0B">
      <w:pPr>
        <w:shd w:val="clear" w:color="auto" w:fill="FFFFFF" w:themeFill="background1"/>
        <w:spacing w:after="0" w:line="240" w:lineRule="auto"/>
        <w:rPr>
          <w:rFonts w:ascii="Arial" w:eastAsia="Times New Roman" w:hAnsi="Arial" w:cs="Arial"/>
          <w:color w:val="2F2522"/>
          <w:sz w:val="28"/>
          <w:szCs w:val="28"/>
        </w:rPr>
      </w:pP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tl/>
        </w:rPr>
        <w:t>المادة 3</w:t>
      </w: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46886B7B" w14:textId="77777777" w:rsidTr="002879C3">
        <w:trPr>
          <w:jc w:val="right"/>
        </w:trPr>
        <w:tc>
          <w:tcPr>
            <w:tcW w:w="0" w:type="auto"/>
            <w:shd w:val="clear" w:color="auto" w:fill="auto"/>
            <w:vAlign w:val="center"/>
            <w:hideMark/>
          </w:tcPr>
          <w:p w14:paraId="68D82175"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يتكون الهيكل التنظيمي للهيئة من</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أ. المجلس</w:t>
            </w:r>
            <w:r w:rsidRPr="00935D0B">
              <w:rPr>
                <w:rFonts w:ascii="Times New Roman" w:eastAsia="Times New Roman" w:hAnsi="Times New Roman" w:cs="Times New Roman"/>
                <w:sz w:val="28"/>
                <w:szCs w:val="28"/>
              </w:rPr>
              <w:t>.</w:t>
            </w:r>
          </w:p>
        </w:tc>
      </w:tr>
    </w:tbl>
    <w:p w14:paraId="7A902FB0" w14:textId="77777777" w:rsidR="002879C3" w:rsidRPr="00935D0B" w:rsidRDefault="002879C3" w:rsidP="002879C3">
      <w:pPr>
        <w:shd w:val="clear" w:color="auto" w:fill="CBC7C1"/>
        <w:spacing w:after="0" w:line="240" w:lineRule="auto"/>
        <w:rPr>
          <w:rFonts w:ascii="Arial" w:eastAsia="Times New Roman" w:hAnsi="Arial" w:cs="Arial"/>
          <w:vanish/>
          <w:color w:val="2F2522"/>
          <w:sz w:val="28"/>
          <w:szCs w:val="28"/>
        </w:rPr>
      </w:pP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0D26993F" w14:textId="77777777" w:rsidTr="002879C3">
        <w:trPr>
          <w:jc w:val="right"/>
        </w:trPr>
        <w:tc>
          <w:tcPr>
            <w:tcW w:w="0" w:type="auto"/>
            <w:shd w:val="clear" w:color="auto" w:fill="auto"/>
            <w:vAlign w:val="center"/>
            <w:hideMark/>
          </w:tcPr>
          <w:p w14:paraId="08826342"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ب. الرئيس</w:t>
            </w:r>
            <w:r w:rsidRPr="00935D0B">
              <w:rPr>
                <w:rFonts w:ascii="Times New Roman" w:eastAsia="Times New Roman" w:hAnsi="Times New Roman" w:cs="Times New Roman"/>
                <w:sz w:val="28"/>
                <w:szCs w:val="28"/>
              </w:rPr>
              <w:t>.</w:t>
            </w:r>
          </w:p>
        </w:tc>
      </w:tr>
    </w:tbl>
    <w:p w14:paraId="1CD1B731" w14:textId="77777777" w:rsidR="002879C3" w:rsidRPr="00935D0B" w:rsidRDefault="002879C3" w:rsidP="002879C3">
      <w:pPr>
        <w:shd w:val="clear" w:color="auto" w:fill="CBC7C1"/>
        <w:spacing w:after="0" w:line="240" w:lineRule="auto"/>
        <w:rPr>
          <w:rFonts w:ascii="Arial" w:eastAsia="Times New Roman" w:hAnsi="Arial" w:cs="Arial"/>
          <w:vanish/>
          <w:color w:val="2F2522"/>
          <w:sz w:val="28"/>
          <w:szCs w:val="28"/>
        </w:rPr>
      </w:pP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6BC1C110" w14:textId="77777777" w:rsidTr="002879C3">
        <w:trPr>
          <w:jc w:val="right"/>
        </w:trPr>
        <w:tc>
          <w:tcPr>
            <w:tcW w:w="0" w:type="auto"/>
            <w:shd w:val="clear" w:color="auto" w:fill="auto"/>
            <w:vAlign w:val="center"/>
            <w:hideMark/>
          </w:tcPr>
          <w:p w14:paraId="346D9A35"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ج. الإدارات التالية</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1. </w:t>
            </w:r>
            <w:r w:rsidRPr="00935D0B">
              <w:rPr>
                <w:rFonts w:ascii="Times New Roman" w:eastAsia="Times New Roman" w:hAnsi="Times New Roman" w:cs="Times New Roman"/>
                <w:sz w:val="28"/>
                <w:szCs w:val="28"/>
                <w:rtl/>
              </w:rPr>
              <w:t>إدارة شؤون المصدرين والمنتجات وتتكون من المديريات التالية</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أ. مديرية الإصدار</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ب. مديرية الحوكمة</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ج. مديرية الإفصاح</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د. مديرية الصكوك الإسلامية</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2. </w:t>
            </w:r>
            <w:r w:rsidRPr="00935D0B">
              <w:rPr>
                <w:rFonts w:ascii="Times New Roman" w:eastAsia="Times New Roman" w:hAnsi="Times New Roman" w:cs="Times New Roman"/>
                <w:sz w:val="28"/>
                <w:szCs w:val="28"/>
                <w:rtl/>
              </w:rPr>
              <w:t xml:space="preserve">إدارة شؤون المرخصين وتتكون من المديريات </w:t>
            </w:r>
            <w:proofErr w:type="gramStart"/>
            <w:r w:rsidRPr="00935D0B">
              <w:rPr>
                <w:rFonts w:ascii="Times New Roman" w:eastAsia="Times New Roman" w:hAnsi="Times New Roman" w:cs="Times New Roman"/>
                <w:sz w:val="28"/>
                <w:szCs w:val="28"/>
                <w:rtl/>
              </w:rPr>
              <w:t>التالية</w:t>
            </w:r>
            <w:r w:rsidRPr="00935D0B">
              <w:rPr>
                <w:rFonts w:ascii="Times New Roman" w:eastAsia="Times New Roman" w:hAnsi="Times New Roman" w:cs="Times New Roman"/>
                <w:sz w:val="28"/>
                <w:szCs w:val="28"/>
              </w:rPr>
              <w:t>:-</w:t>
            </w:r>
            <w:proofErr w:type="gramEnd"/>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أ. مديرية الترخيص</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ب. مديرية التفتيش</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ج. مديرية البورصات الأجنبية</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د. مديرية الرقابة على سوق رأس المال</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هـ. مديرية مكافحة غسل الأموال وتمويل الإرهاب</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3. </w:t>
            </w:r>
            <w:r w:rsidRPr="00935D0B">
              <w:rPr>
                <w:rFonts w:ascii="Times New Roman" w:eastAsia="Times New Roman" w:hAnsi="Times New Roman" w:cs="Times New Roman"/>
                <w:sz w:val="28"/>
                <w:szCs w:val="28"/>
                <w:rtl/>
              </w:rPr>
              <w:t xml:space="preserve">إدارة الشؤون الفنية والإستراتيجية وتتكون من المديريات </w:t>
            </w:r>
            <w:proofErr w:type="gramStart"/>
            <w:r w:rsidRPr="00935D0B">
              <w:rPr>
                <w:rFonts w:ascii="Times New Roman" w:eastAsia="Times New Roman" w:hAnsi="Times New Roman" w:cs="Times New Roman"/>
                <w:sz w:val="28"/>
                <w:szCs w:val="28"/>
                <w:rtl/>
              </w:rPr>
              <w:t>التالية</w:t>
            </w:r>
            <w:r w:rsidRPr="00935D0B">
              <w:rPr>
                <w:rFonts w:ascii="Times New Roman" w:eastAsia="Times New Roman" w:hAnsi="Times New Roman" w:cs="Times New Roman"/>
                <w:sz w:val="28"/>
                <w:szCs w:val="28"/>
              </w:rPr>
              <w:t>:-</w:t>
            </w:r>
            <w:proofErr w:type="gramEnd"/>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أ. مديرية الدراسات والاستشارات القانونية</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ب. مديرية الأبحاث والعلاقات الدولية والإعلام</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ج. مديرية تطوير الاداء المؤسسي والتخطيط</w:t>
            </w:r>
            <w:r w:rsidRPr="00935D0B">
              <w:rPr>
                <w:rFonts w:ascii="Times New Roman" w:eastAsia="Times New Roman" w:hAnsi="Times New Roman" w:cs="Times New Roman"/>
                <w:sz w:val="28"/>
                <w:szCs w:val="28"/>
              </w:rPr>
              <w:t>.</w:t>
            </w:r>
          </w:p>
        </w:tc>
      </w:tr>
    </w:tbl>
    <w:p w14:paraId="03186C8A" w14:textId="77777777" w:rsidR="002879C3" w:rsidRPr="00935D0B" w:rsidRDefault="002879C3" w:rsidP="002879C3">
      <w:pPr>
        <w:shd w:val="clear" w:color="auto" w:fill="CBC7C1"/>
        <w:spacing w:after="0" w:line="240" w:lineRule="auto"/>
        <w:rPr>
          <w:rFonts w:ascii="Arial" w:eastAsia="Times New Roman" w:hAnsi="Arial" w:cs="Arial"/>
          <w:vanish/>
          <w:color w:val="2F2522"/>
          <w:sz w:val="28"/>
          <w:szCs w:val="28"/>
        </w:rPr>
      </w:pP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764827AF" w14:textId="77777777" w:rsidTr="002879C3">
        <w:trPr>
          <w:jc w:val="right"/>
        </w:trPr>
        <w:tc>
          <w:tcPr>
            <w:tcW w:w="0" w:type="auto"/>
            <w:shd w:val="clear" w:color="auto" w:fill="auto"/>
            <w:vAlign w:val="center"/>
            <w:hideMark/>
          </w:tcPr>
          <w:p w14:paraId="5B08A8FF"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د. المديريات التالية</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1. </w:t>
            </w:r>
            <w:r w:rsidRPr="00935D0B">
              <w:rPr>
                <w:rFonts w:ascii="Times New Roman" w:eastAsia="Times New Roman" w:hAnsi="Times New Roman" w:cs="Times New Roman"/>
                <w:sz w:val="28"/>
                <w:szCs w:val="28"/>
                <w:rtl/>
              </w:rPr>
              <w:t>مديرية الشؤون المالية والمشتريات</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2. </w:t>
            </w:r>
            <w:r w:rsidRPr="00935D0B">
              <w:rPr>
                <w:rFonts w:ascii="Times New Roman" w:eastAsia="Times New Roman" w:hAnsi="Times New Roman" w:cs="Times New Roman"/>
                <w:sz w:val="28"/>
                <w:szCs w:val="28"/>
                <w:rtl/>
              </w:rPr>
              <w:t>مديرية الشؤون الإدارية</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3. </w:t>
            </w:r>
            <w:r w:rsidRPr="00935D0B">
              <w:rPr>
                <w:rFonts w:ascii="Times New Roman" w:eastAsia="Times New Roman" w:hAnsi="Times New Roman" w:cs="Times New Roman"/>
                <w:sz w:val="28"/>
                <w:szCs w:val="28"/>
                <w:rtl/>
              </w:rPr>
              <w:t>مديرية الموارد البشرية والتدريب</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4. </w:t>
            </w:r>
            <w:r w:rsidRPr="00935D0B">
              <w:rPr>
                <w:rFonts w:ascii="Times New Roman" w:eastAsia="Times New Roman" w:hAnsi="Times New Roman" w:cs="Times New Roman"/>
                <w:sz w:val="28"/>
                <w:szCs w:val="28"/>
                <w:rtl/>
              </w:rPr>
              <w:t>مديرية تكنولوجيا المعلومات</w:t>
            </w:r>
            <w:r w:rsidRPr="00935D0B">
              <w:rPr>
                <w:rFonts w:ascii="Times New Roman" w:eastAsia="Times New Roman" w:hAnsi="Times New Roman" w:cs="Times New Roman"/>
                <w:sz w:val="28"/>
                <w:szCs w:val="28"/>
              </w:rPr>
              <w:t>.</w:t>
            </w:r>
          </w:p>
        </w:tc>
      </w:tr>
    </w:tbl>
    <w:p w14:paraId="49276EBE" w14:textId="77777777" w:rsidR="002879C3" w:rsidRPr="00935D0B" w:rsidRDefault="002879C3" w:rsidP="002879C3">
      <w:pPr>
        <w:shd w:val="clear" w:color="auto" w:fill="CBC7C1"/>
        <w:spacing w:after="0" w:line="240" w:lineRule="auto"/>
        <w:rPr>
          <w:rFonts w:ascii="Arial" w:eastAsia="Times New Roman" w:hAnsi="Arial" w:cs="Arial"/>
          <w:vanish/>
          <w:color w:val="2F2522"/>
          <w:sz w:val="28"/>
          <w:szCs w:val="28"/>
        </w:rPr>
      </w:pP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39379B94" w14:textId="77777777" w:rsidTr="002879C3">
        <w:trPr>
          <w:jc w:val="right"/>
        </w:trPr>
        <w:tc>
          <w:tcPr>
            <w:tcW w:w="0" w:type="auto"/>
            <w:shd w:val="clear" w:color="auto" w:fill="auto"/>
            <w:vAlign w:val="center"/>
            <w:hideMark/>
          </w:tcPr>
          <w:p w14:paraId="08D046C5"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lastRenderedPageBreak/>
              <w:t>هـ. وحدة الرقابة الداخلية</w:t>
            </w:r>
            <w:r w:rsidRPr="00935D0B">
              <w:rPr>
                <w:rFonts w:ascii="Times New Roman" w:eastAsia="Times New Roman" w:hAnsi="Times New Roman" w:cs="Times New Roman"/>
                <w:sz w:val="28"/>
                <w:szCs w:val="28"/>
              </w:rPr>
              <w:t>.</w:t>
            </w:r>
          </w:p>
        </w:tc>
      </w:tr>
    </w:tbl>
    <w:p w14:paraId="25585675" w14:textId="77777777" w:rsidR="002879C3" w:rsidRPr="00935D0B" w:rsidRDefault="002879C3" w:rsidP="002879C3">
      <w:pPr>
        <w:shd w:val="clear" w:color="auto" w:fill="CBC7C1"/>
        <w:spacing w:after="0" w:line="240" w:lineRule="auto"/>
        <w:rPr>
          <w:rFonts w:ascii="Arial" w:eastAsia="Times New Roman" w:hAnsi="Arial" w:cs="Arial"/>
          <w:vanish/>
          <w:color w:val="2F2522"/>
          <w:sz w:val="28"/>
          <w:szCs w:val="28"/>
        </w:rPr>
      </w:pP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283927CB" w14:textId="77777777" w:rsidTr="002879C3">
        <w:trPr>
          <w:jc w:val="right"/>
        </w:trPr>
        <w:tc>
          <w:tcPr>
            <w:tcW w:w="0" w:type="auto"/>
            <w:shd w:val="clear" w:color="auto" w:fill="auto"/>
            <w:vAlign w:val="center"/>
            <w:hideMark/>
          </w:tcPr>
          <w:p w14:paraId="48F98A3D"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و. المكتبين التاليين</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1. </w:t>
            </w:r>
            <w:r w:rsidRPr="00935D0B">
              <w:rPr>
                <w:rFonts w:ascii="Times New Roman" w:eastAsia="Times New Roman" w:hAnsi="Times New Roman" w:cs="Times New Roman"/>
                <w:sz w:val="28"/>
                <w:szCs w:val="28"/>
                <w:rtl/>
              </w:rPr>
              <w:t>مكتب أمانة سر المجلس</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2. </w:t>
            </w:r>
            <w:r w:rsidRPr="00935D0B">
              <w:rPr>
                <w:rFonts w:ascii="Times New Roman" w:eastAsia="Times New Roman" w:hAnsi="Times New Roman" w:cs="Times New Roman"/>
                <w:sz w:val="28"/>
                <w:szCs w:val="28"/>
                <w:rtl/>
              </w:rPr>
              <w:t>مكتب الرئيس</w:t>
            </w:r>
            <w:r w:rsidRPr="00935D0B">
              <w:rPr>
                <w:rFonts w:ascii="Times New Roman" w:eastAsia="Times New Roman" w:hAnsi="Times New Roman" w:cs="Times New Roman"/>
                <w:sz w:val="28"/>
                <w:szCs w:val="28"/>
              </w:rPr>
              <w:t>.</w:t>
            </w:r>
          </w:p>
        </w:tc>
      </w:tr>
    </w:tbl>
    <w:p w14:paraId="33B86439" w14:textId="77777777" w:rsidR="002879C3" w:rsidRPr="00935D0B" w:rsidRDefault="002879C3" w:rsidP="00935D0B">
      <w:pPr>
        <w:shd w:val="clear" w:color="auto" w:fill="FFFFFF" w:themeFill="background1"/>
        <w:spacing w:after="0" w:line="240" w:lineRule="auto"/>
        <w:rPr>
          <w:rFonts w:ascii="Arial" w:eastAsia="Times New Roman" w:hAnsi="Arial" w:cs="Arial"/>
          <w:color w:val="2F2522"/>
          <w:sz w:val="28"/>
          <w:szCs w:val="28"/>
        </w:rPr>
      </w:pP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tl/>
        </w:rPr>
        <w:t>المادة 4</w:t>
      </w: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774B70AF" w14:textId="77777777" w:rsidTr="002879C3">
        <w:trPr>
          <w:jc w:val="right"/>
        </w:trPr>
        <w:tc>
          <w:tcPr>
            <w:tcW w:w="0" w:type="auto"/>
            <w:shd w:val="clear" w:color="auto" w:fill="auto"/>
            <w:vAlign w:val="center"/>
            <w:hideMark/>
          </w:tcPr>
          <w:p w14:paraId="43E9B181"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أ. ترتبط وحدة الرقابة الداخلية بالمجلس</w:t>
            </w:r>
            <w:r w:rsidRPr="00935D0B">
              <w:rPr>
                <w:rFonts w:ascii="Times New Roman" w:eastAsia="Times New Roman" w:hAnsi="Times New Roman" w:cs="Times New Roman"/>
                <w:sz w:val="28"/>
                <w:szCs w:val="28"/>
              </w:rPr>
              <w:t>.</w:t>
            </w:r>
          </w:p>
        </w:tc>
      </w:tr>
    </w:tbl>
    <w:p w14:paraId="242EED13" w14:textId="77777777" w:rsidR="002879C3" w:rsidRPr="00935D0B" w:rsidRDefault="002879C3" w:rsidP="002879C3">
      <w:pPr>
        <w:shd w:val="clear" w:color="auto" w:fill="CBC7C1"/>
        <w:spacing w:after="0" w:line="240" w:lineRule="auto"/>
        <w:rPr>
          <w:rFonts w:ascii="Arial" w:eastAsia="Times New Roman" w:hAnsi="Arial" w:cs="Arial"/>
          <w:vanish/>
          <w:color w:val="2F2522"/>
          <w:sz w:val="28"/>
          <w:szCs w:val="28"/>
        </w:rPr>
      </w:pP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23D8182F" w14:textId="77777777" w:rsidTr="002879C3">
        <w:trPr>
          <w:jc w:val="right"/>
        </w:trPr>
        <w:tc>
          <w:tcPr>
            <w:tcW w:w="0" w:type="auto"/>
            <w:shd w:val="clear" w:color="auto" w:fill="auto"/>
            <w:vAlign w:val="center"/>
            <w:hideMark/>
          </w:tcPr>
          <w:p w14:paraId="3749C35A"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ب. يرتبط بالرئيس كل من</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1. </w:t>
            </w:r>
            <w:r w:rsidRPr="00935D0B">
              <w:rPr>
                <w:rFonts w:ascii="Times New Roman" w:eastAsia="Times New Roman" w:hAnsi="Times New Roman" w:cs="Times New Roman"/>
                <w:sz w:val="28"/>
                <w:szCs w:val="28"/>
                <w:rtl/>
              </w:rPr>
              <w:t>إدارة شؤون المصدرين والمنتجات</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2. </w:t>
            </w:r>
            <w:r w:rsidRPr="00935D0B">
              <w:rPr>
                <w:rFonts w:ascii="Times New Roman" w:eastAsia="Times New Roman" w:hAnsi="Times New Roman" w:cs="Times New Roman"/>
                <w:sz w:val="28"/>
                <w:szCs w:val="28"/>
                <w:rtl/>
              </w:rPr>
              <w:t>إدارة شؤون المرخصين</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3. </w:t>
            </w:r>
            <w:r w:rsidRPr="00935D0B">
              <w:rPr>
                <w:rFonts w:ascii="Times New Roman" w:eastAsia="Times New Roman" w:hAnsi="Times New Roman" w:cs="Times New Roman"/>
                <w:sz w:val="28"/>
                <w:szCs w:val="28"/>
                <w:rtl/>
              </w:rPr>
              <w:t>إدارة الشؤون الفنية والإستراتيجية</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4. </w:t>
            </w:r>
            <w:r w:rsidRPr="00935D0B">
              <w:rPr>
                <w:rFonts w:ascii="Times New Roman" w:eastAsia="Times New Roman" w:hAnsi="Times New Roman" w:cs="Times New Roman"/>
                <w:sz w:val="28"/>
                <w:szCs w:val="28"/>
                <w:rtl/>
              </w:rPr>
              <w:t>مديرية الشؤون المالية والمشتريات</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5. </w:t>
            </w:r>
            <w:r w:rsidRPr="00935D0B">
              <w:rPr>
                <w:rFonts w:ascii="Times New Roman" w:eastAsia="Times New Roman" w:hAnsi="Times New Roman" w:cs="Times New Roman"/>
                <w:sz w:val="28"/>
                <w:szCs w:val="28"/>
                <w:rtl/>
              </w:rPr>
              <w:t>مديرية الشؤون الإدارية</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6. </w:t>
            </w:r>
            <w:r w:rsidRPr="00935D0B">
              <w:rPr>
                <w:rFonts w:ascii="Times New Roman" w:eastAsia="Times New Roman" w:hAnsi="Times New Roman" w:cs="Times New Roman"/>
                <w:sz w:val="28"/>
                <w:szCs w:val="28"/>
                <w:rtl/>
              </w:rPr>
              <w:t>مديرية الموارد البشرية والتدريب</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7. </w:t>
            </w:r>
            <w:r w:rsidRPr="00935D0B">
              <w:rPr>
                <w:rFonts w:ascii="Times New Roman" w:eastAsia="Times New Roman" w:hAnsi="Times New Roman" w:cs="Times New Roman"/>
                <w:sz w:val="28"/>
                <w:szCs w:val="28"/>
                <w:rtl/>
              </w:rPr>
              <w:t>مديرية تكنولوجيا المعلومات</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8. </w:t>
            </w:r>
            <w:r w:rsidRPr="00935D0B">
              <w:rPr>
                <w:rFonts w:ascii="Times New Roman" w:eastAsia="Times New Roman" w:hAnsi="Times New Roman" w:cs="Times New Roman"/>
                <w:sz w:val="28"/>
                <w:szCs w:val="28"/>
                <w:rtl/>
              </w:rPr>
              <w:t>مكتب أمانة سر المجلس</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9. </w:t>
            </w:r>
            <w:r w:rsidRPr="00935D0B">
              <w:rPr>
                <w:rFonts w:ascii="Times New Roman" w:eastAsia="Times New Roman" w:hAnsi="Times New Roman" w:cs="Times New Roman"/>
                <w:sz w:val="28"/>
                <w:szCs w:val="28"/>
                <w:rtl/>
              </w:rPr>
              <w:t>مكتب الرئيس</w:t>
            </w:r>
            <w:r w:rsidRPr="00935D0B">
              <w:rPr>
                <w:rFonts w:ascii="Times New Roman" w:eastAsia="Times New Roman" w:hAnsi="Times New Roman" w:cs="Times New Roman"/>
                <w:sz w:val="28"/>
                <w:szCs w:val="28"/>
              </w:rPr>
              <w:t>.</w:t>
            </w:r>
          </w:p>
        </w:tc>
      </w:tr>
    </w:tbl>
    <w:p w14:paraId="3424774D" w14:textId="77777777" w:rsidR="002879C3" w:rsidRPr="00935D0B" w:rsidRDefault="002879C3" w:rsidP="002879C3">
      <w:pPr>
        <w:shd w:val="clear" w:color="auto" w:fill="CBC7C1"/>
        <w:spacing w:after="0" w:line="240" w:lineRule="auto"/>
        <w:rPr>
          <w:rFonts w:ascii="Arial" w:eastAsia="Times New Roman" w:hAnsi="Arial" w:cs="Arial"/>
          <w:vanish/>
          <w:color w:val="2F2522"/>
          <w:sz w:val="28"/>
          <w:szCs w:val="28"/>
        </w:rPr>
      </w:pP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34EEDD7D" w14:textId="77777777" w:rsidTr="002879C3">
        <w:trPr>
          <w:jc w:val="right"/>
        </w:trPr>
        <w:tc>
          <w:tcPr>
            <w:tcW w:w="0" w:type="auto"/>
            <w:shd w:val="clear" w:color="auto" w:fill="auto"/>
            <w:vAlign w:val="center"/>
            <w:hideMark/>
          </w:tcPr>
          <w:p w14:paraId="76018F99"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ج. على الرغم مما ورد في الفقرة (ب) من هذه المادة، للرئيس ربط أي من الإدارات أو المديريات أو المكاتب بأي من أعضاء المجلس وفقا لما تقتضيه مصلحة العمل في الهيئة</w:t>
            </w:r>
            <w:r w:rsidRPr="00935D0B">
              <w:rPr>
                <w:rFonts w:ascii="Times New Roman" w:eastAsia="Times New Roman" w:hAnsi="Times New Roman" w:cs="Times New Roman"/>
                <w:sz w:val="28"/>
                <w:szCs w:val="28"/>
              </w:rPr>
              <w:t>.</w:t>
            </w:r>
          </w:p>
        </w:tc>
      </w:tr>
    </w:tbl>
    <w:p w14:paraId="4AB3D675" w14:textId="77777777" w:rsidR="002879C3" w:rsidRPr="00935D0B" w:rsidRDefault="002879C3" w:rsidP="00935D0B">
      <w:pPr>
        <w:shd w:val="clear" w:color="auto" w:fill="FFFFFF" w:themeFill="background1"/>
        <w:spacing w:after="0" w:line="240" w:lineRule="auto"/>
        <w:rPr>
          <w:rFonts w:ascii="Arial" w:eastAsia="Times New Roman" w:hAnsi="Arial" w:cs="Arial"/>
          <w:color w:val="2F2522"/>
          <w:sz w:val="28"/>
          <w:szCs w:val="28"/>
        </w:rPr>
      </w:pP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tl/>
        </w:rPr>
        <w:t>المادة 5</w:t>
      </w: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0D484880" w14:textId="77777777" w:rsidTr="002879C3">
        <w:trPr>
          <w:jc w:val="right"/>
        </w:trPr>
        <w:tc>
          <w:tcPr>
            <w:tcW w:w="0" w:type="auto"/>
            <w:shd w:val="clear" w:color="auto" w:fill="auto"/>
            <w:vAlign w:val="center"/>
            <w:hideMark/>
          </w:tcPr>
          <w:p w14:paraId="70371C5E"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أ. تشكل في الهيئة لجنة تسمى (لجنة التخطيط والتنسيق والمتابعة) برئاسة الرئيس وعضوية كل من</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1. </w:t>
            </w:r>
            <w:r w:rsidRPr="00935D0B">
              <w:rPr>
                <w:rFonts w:ascii="Times New Roman" w:eastAsia="Times New Roman" w:hAnsi="Times New Roman" w:cs="Times New Roman"/>
                <w:sz w:val="28"/>
                <w:szCs w:val="28"/>
                <w:rtl/>
              </w:rPr>
              <w:t>أحد أعضاء المجلس يختاره المجلس ويكون نائبا لرئيس اللجنة ويتولى صلاحياته في حال غيابه</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2. </w:t>
            </w:r>
            <w:r w:rsidRPr="00935D0B">
              <w:rPr>
                <w:rFonts w:ascii="Times New Roman" w:eastAsia="Times New Roman" w:hAnsi="Times New Roman" w:cs="Times New Roman"/>
                <w:sz w:val="28"/>
                <w:szCs w:val="28"/>
                <w:rtl/>
              </w:rPr>
              <w:t>ثلاثة من موظفي الهيئة يختارهم الرئيس</w:t>
            </w:r>
            <w:r w:rsidRPr="00935D0B">
              <w:rPr>
                <w:rFonts w:ascii="Times New Roman" w:eastAsia="Times New Roman" w:hAnsi="Times New Roman" w:cs="Times New Roman"/>
                <w:sz w:val="28"/>
                <w:szCs w:val="28"/>
              </w:rPr>
              <w:t>.</w:t>
            </w:r>
          </w:p>
        </w:tc>
      </w:tr>
    </w:tbl>
    <w:p w14:paraId="2911FDD7" w14:textId="77777777" w:rsidR="002879C3" w:rsidRPr="00935D0B" w:rsidRDefault="002879C3" w:rsidP="002879C3">
      <w:pPr>
        <w:shd w:val="clear" w:color="auto" w:fill="CBC7C1"/>
        <w:spacing w:after="0" w:line="240" w:lineRule="auto"/>
        <w:rPr>
          <w:rFonts w:ascii="Arial" w:eastAsia="Times New Roman" w:hAnsi="Arial" w:cs="Arial"/>
          <w:vanish/>
          <w:color w:val="2F2522"/>
          <w:sz w:val="28"/>
          <w:szCs w:val="28"/>
        </w:rPr>
      </w:pP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7152F1DF" w14:textId="77777777" w:rsidTr="002879C3">
        <w:trPr>
          <w:jc w:val="right"/>
        </w:trPr>
        <w:tc>
          <w:tcPr>
            <w:tcW w:w="0" w:type="auto"/>
            <w:shd w:val="clear" w:color="auto" w:fill="auto"/>
            <w:vAlign w:val="center"/>
            <w:hideMark/>
          </w:tcPr>
          <w:p w14:paraId="3243E272"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ب. تتولى اللجنة دراسة الأمور التالية وترفع توصياتها للمجلس لاتخاذ الاجراءات المناسبة بشأنها</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1. </w:t>
            </w:r>
            <w:r w:rsidRPr="00935D0B">
              <w:rPr>
                <w:rFonts w:ascii="Times New Roman" w:eastAsia="Times New Roman" w:hAnsi="Times New Roman" w:cs="Times New Roman"/>
                <w:sz w:val="28"/>
                <w:szCs w:val="28"/>
                <w:rtl/>
              </w:rPr>
              <w:t>خطط الهيئة وبرامجها والأنشطة الخاصة بها وتقييمها</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2. </w:t>
            </w:r>
            <w:r w:rsidRPr="00935D0B">
              <w:rPr>
                <w:rFonts w:ascii="Times New Roman" w:eastAsia="Times New Roman" w:hAnsi="Times New Roman" w:cs="Times New Roman"/>
                <w:sz w:val="28"/>
                <w:szCs w:val="28"/>
                <w:rtl/>
              </w:rPr>
              <w:t>مشروعات القوانين والأنظمة والتعليمات المتعلقة بعمل الهيئة، وكذلك الأنظمة الداخلية والتعليمات المتعلقة بالسوق المالي ومركز إيداع الأوراق المالية</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3. </w:t>
            </w:r>
            <w:r w:rsidRPr="00935D0B">
              <w:rPr>
                <w:rFonts w:ascii="Times New Roman" w:eastAsia="Times New Roman" w:hAnsi="Times New Roman" w:cs="Times New Roman"/>
                <w:sz w:val="28"/>
                <w:szCs w:val="28"/>
                <w:rtl/>
              </w:rPr>
              <w:t>مشروع الموازنة السنوية للهيئة</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t xml:space="preserve">4. </w:t>
            </w:r>
            <w:r w:rsidRPr="00935D0B">
              <w:rPr>
                <w:rFonts w:ascii="Times New Roman" w:eastAsia="Times New Roman" w:hAnsi="Times New Roman" w:cs="Times New Roman"/>
                <w:sz w:val="28"/>
                <w:szCs w:val="28"/>
                <w:rtl/>
              </w:rPr>
              <w:t>أي أمور أخرى يحيلها المجلس او الرئيس إليها</w:t>
            </w:r>
            <w:r w:rsidRPr="00935D0B">
              <w:rPr>
                <w:rFonts w:ascii="Times New Roman" w:eastAsia="Times New Roman" w:hAnsi="Times New Roman" w:cs="Times New Roman"/>
                <w:sz w:val="28"/>
                <w:szCs w:val="28"/>
              </w:rPr>
              <w:t>.</w:t>
            </w:r>
          </w:p>
        </w:tc>
      </w:tr>
    </w:tbl>
    <w:p w14:paraId="1615FCA3" w14:textId="77777777" w:rsidR="002879C3" w:rsidRPr="00935D0B" w:rsidRDefault="002879C3" w:rsidP="002879C3">
      <w:pPr>
        <w:shd w:val="clear" w:color="auto" w:fill="CBC7C1"/>
        <w:spacing w:after="0" w:line="240" w:lineRule="auto"/>
        <w:rPr>
          <w:rFonts w:ascii="Arial" w:eastAsia="Times New Roman" w:hAnsi="Arial" w:cs="Arial"/>
          <w:vanish/>
          <w:color w:val="2F2522"/>
          <w:sz w:val="28"/>
          <w:szCs w:val="28"/>
        </w:rPr>
      </w:pP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139E325A" w14:textId="77777777" w:rsidTr="002879C3">
        <w:trPr>
          <w:jc w:val="right"/>
        </w:trPr>
        <w:tc>
          <w:tcPr>
            <w:tcW w:w="0" w:type="auto"/>
            <w:shd w:val="clear" w:color="auto" w:fill="auto"/>
            <w:vAlign w:val="center"/>
            <w:hideMark/>
          </w:tcPr>
          <w:p w14:paraId="6489C02C"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ج. تجتمع اللجنة بدعوة من رئيسها أو نائبه عند غيابه مرة كل شهر وكلما دعت الحاجة ويكون اجتماعها قانونيا بحضور أغلبية أعضائها على ان يكون رئيسها أو نائبه من بينهم، وتتخذ توصياتها بأغلبية أصوات اعضائها الحاضرين</w:t>
            </w:r>
            <w:r w:rsidRPr="00935D0B">
              <w:rPr>
                <w:rFonts w:ascii="Times New Roman" w:eastAsia="Times New Roman" w:hAnsi="Times New Roman" w:cs="Times New Roman"/>
                <w:sz w:val="28"/>
                <w:szCs w:val="28"/>
              </w:rPr>
              <w:t>.</w:t>
            </w:r>
          </w:p>
        </w:tc>
      </w:tr>
    </w:tbl>
    <w:p w14:paraId="36FE5C6B" w14:textId="77777777" w:rsidR="002879C3" w:rsidRPr="00935D0B" w:rsidRDefault="002879C3" w:rsidP="002879C3">
      <w:pPr>
        <w:shd w:val="clear" w:color="auto" w:fill="CBC7C1"/>
        <w:spacing w:after="0" w:line="240" w:lineRule="auto"/>
        <w:rPr>
          <w:rFonts w:ascii="Arial" w:eastAsia="Times New Roman" w:hAnsi="Arial" w:cs="Arial"/>
          <w:vanish/>
          <w:color w:val="2F2522"/>
          <w:sz w:val="28"/>
          <w:szCs w:val="28"/>
        </w:rPr>
      </w:pP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5B303E24" w14:textId="77777777" w:rsidTr="002879C3">
        <w:trPr>
          <w:jc w:val="right"/>
        </w:trPr>
        <w:tc>
          <w:tcPr>
            <w:tcW w:w="0" w:type="auto"/>
            <w:shd w:val="clear" w:color="auto" w:fill="auto"/>
            <w:vAlign w:val="center"/>
            <w:hideMark/>
          </w:tcPr>
          <w:p w14:paraId="572C57C6"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د. لرئيس اللجنة دعوة أي شخص من داخل الهيئة أو خارجها لحضور اجتماع اللجنة للاستئناس برأيه في الامور المعروضة عليها دون ان يكون له حق التصويت</w:t>
            </w:r>
            <w:r w:rsidRPr="00935D0B">
              <w:rPr>
                <w:rFonts w:ascii="Times New Roman" w:eastAsia="Times New Roman" w:hAnsi="Times New Roman" w:cs="Times New Roman"/>
                <w:sz w:val="28"/>
                <w:szCs w:val="28"/>
              </w:rPr>
              <w:t>.</w:t>
            </w:r>
          </w:p>
        </w:tc>
      </w:tr>
    </w:tbl>
    <w:p w14:paraId="64CCC48A" w14:textId="77777777" w:rsidR="002879C3" w:rsidRPr="00935D0B" w:rsidRDefault="002879C3" w:rsidP="002879C3">
      <w:pPr>
        <w:shd w:val="clear" w:color="auto" w:fill="CBC7C1"/>
        <w:spacing w:after="0" w:line="240" w:lineRule="auto"/>
        <w:rPr>
          <w:rFonts w:ascii="Arial" w:eastAsia="Times New Roman" w:hAnsi="Arial" w:cs="Arial"/>
          <w:vanish/>
          <w:color w:val="2F2522"/>
          <w:sz w:val="28"/>
          <w:szCs w:val="28"/>
        </w:rPr>
      </w:pP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02F196F0" w14:textId="77777777" w:rsidTr="002879C3">
        <w:trPr>
          <w:jc w:val="right"/>
        </w:trPr>
        <w:tc>
          <w:tcPr>
            <w:tcW w:w="0" w:type="auto"/>
            <w:shd w:val="clear" w:color="auto" w:fill="auto"/>
            <w:vAlign w:val="center"/>
            <w:hideMark/>
          </w:tcPr>
          <w:p w14:paraId="1E9CDDB1"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هـ. يسمي الرئيس أحد موظفي الهيئة أمينا لسر اللجنة يتولى تنظيم جدول أعمالها وتدوين محاضر جلساتها وحفظ قيودها وسجلاتها ومعاملاتها وقراراتها ومتابعة تنفيذ توصياتها</w:t>
            </w:r>
            <w:r w:rsidRPr="00935D0B">
              <w:rPr>
                <w:rFonts w:ascii="Times New Roman" w:eastAsia="Times New Roman" w:hAnsi="Times New Roman" w:cs="Times New Roman"/>
                <w:sz w:val="28"/>
                <w:szCs w:val="28"/>
              </w:rPr>
              <w:t>.</w:t>
            </w:r>
          </w:p>
        </w:tc>
      </w:tr>
    </w:tbl>
    <w:p w14:paraId="09381B2E" w14:textId="77777777" w:rsidR="002879C3" w:rsidRPr="00935D0B" w:rsidRDefault="002879C3" w:rsidP="00935D0B">
      <w:pPr>
        <w:shd w:val="clear" w:color="auto" w:fill="FFFFFF" w:themeFill="background1"/>
        <w:spacing w:after="0" w:line="240" w:lineRule="auto"/>
        <w:rPr>
          <w:rFonts w:ascii="Arial" w:eastAsia="Times New Roman" w:hAnsi="Arial" w:cs="Arial"/>
          <w:color w:val="2F2522"/>
          <w:sz w:val="28"/>
          <w:szCs w:val="28"/>
        </w:rPr>
      </w:pPr>
      <w:r w:rsidRPr="00935D0B">
        <w:rPr>
          <w:rFonts w:ascii="Arial" w:eastAsia="Times New Roman" w:hAnsi="Arial" w:cs="Arial"/>
          <w:color w:val="2F2522"/>
          <w:sz w:val="28"/>
          <w:szCs w:val="28"/>
        </w:rPr>
        <w:lastRenderedPageBreak/>
        <w:br/>
      </w: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tl/>
        </w:rPr>
        <w:t>المادة 6</w:t>
      </w: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28459F07" w14:textId="77777777" w:rsidTr="002879C3">
        <w:trPr>
          <w:jc w:val="right"/>
        </w:trPr>
        <w:tc>
          <w:tcPr>
            <w:tcW w:w="0" w:type="auto"/>
            <w:shd w:val="clear" w:color="auto" w:fill="auto"/>
            <w:vAlign w:val="center"/>
            <w:hideMark/>
          </w:tcPr>
          <w:p w14:paraId="48776AB6"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للمجلس أو الرئيس تشكيل أي لجنة دائمة أو مؤقتة لتمكين الهيئة من القيام بمهامها على ان يحدد في قرار تشكيلها مهامها وواجباتها وكيفية انعقاد اجتماعاتها واتخاذ قراراتها</w:t>
            </w:r>
            <w:r w:rsidRPr="00935D0B">
              <w:rPr>
                <w:rFonts w:ascii="Times New Roman" w:eastAsia="Times New Roman" w:hAnsi="Times New Roman" w:cs="Times New Roman"/>
                <w:sz w:val="28"/>
                <w:szCs w:val="28"/>
              </w:rPr>
              <w:t>.</w:t>
            </w:r>
          </w:p>
        </w:tc>
      </w:tr>
    </w:tbl>
    <w:p w14:paraId="11F28EB6" w14:textId="77777777" w:rsidR="002879C3" w:rsidRPr="00935D0B" w:rsidRDefault="002879C3" w:rsidP="00935D0B">
      <w:pPr>
        <w:shd w:val="clear" w:color="auto" w:fill="FFFFFF" w:themeFill="background1"/>
        <w:spacing w:after="0" w:line="240" w:lineRule="auto"/>
        <w:rPr>
          <w:rFonts w:ascii="Arial" w:eastAsia="Times New Roman" w:hAnsi="Arial" w:cs="Arial"/>
          <w:color w:val="2F2522"/>
          <w:sz w:val="28"/>
          <w:szCs w:val="28"/>
        </w:rPr>
      </w:pP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tl/>
        </w:rPr>
        <w:t>المادة 7</w:t>
      </w: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049BA3BF" w14:textId="77777777" w:rsidTr="002879C3">
        <w:trPr>
          <w:jc w:val="right"/>
        </w:trPr>
        <w:tc>
          <w:tcPr>
            <w:tcW w:w="0" w:type="auto"/>
            <w:shd w:val="clear" w:color="auto" w:fill="auto"/>
            <w:vAlign w:val="center"/>
            <w:hideMark/>
          </w:tcPr>
          <w:p w14:paraId="21599451"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يصدر المجلس بناء على تنسيب الرئيس التعليمات اللازمة لتنفيذ أحكام هذا النظام بما في ذلك ما يلي</w:t>
            </w:r>
            <w:r w:rsidRPr="00935D0B">
              <w:rPr>
                <w:rFonts w:ascii="Times New Roman" w:eastAsia="Times New Roman" w:hAnsi="Times New Roman" w:cs="Times New Roman"/>
                <w:sz w:val="28"/>
                <w:szCs w:val="28"/>
              </w:rPr>
              <w:t>:-</w:t>
            </w:r>
            <w:r w:rsidRPr="00935D0B">
              <w:rPr>
                <w:rFonts w:ascii="Times New Roman" w:eastAsia="Times New Roman" w:hAnsi="Times New Roman" w:cs="Times New Roman"/>
                <w:sz w:val="28"/>
                <w:szCs w:val="28"/>
              </w:rPr>
              <w:br/>
            </w:r>
            <w:r w:rsidRPr="00935D0B">
              <w:rPr>
                <w:rFonts w:ascii="Times New Roman" w:eastAsia="Times New Roman" w:hAnsi="Times New Roman" w:cs="Times New Roman"/>
                <w:sz w:val="28"/>
                <w:szCs w:val="28"/>
                <w:rtl/>
              </w:rPr>
              <w:t>أ. تحديد مهام الوحدات التنظيمية في الهيئة ومسؤولياتها</w:t>
            </w:r>
            <w:r w:rsidRPr="00935D0B">
              <w:rPr>
                <w:rFonts w:ascii="Times New Roman" w:eastAsia="Times New Roman" w:hAnsi="Times New Roman" w:cs="Times New Roman"/>
                <w:sz w:val="28"/>
                <w:szCs w:val="28"/>
              </w:rPr>
              <w:t>.</w:t>
            </w:r>
          </w:p>
        </w:tc>
      </w:tr>
    </w:tbl>
    <w:p w14:paraId="61E59254" w14:textId="77777777" w:rsidR="002879C3" w:rsidRPr="00935D0B" w:rsidRDefault="002879C3" w:rsidP="002879C3">
      <w:pPr>
        <w:shd w:val="clear" w:color="auto" w:fill="CBC7C1"/>
        <w:spacing w:after="0" w:line="240" w:lineRule="auto"/>
        <w:rPr>
          <w:rFonts w:ascii="Arial" w:eastAsia="Times New Roman" w:hAnsi="Arial" w:cs="Arial"/>
          <w:vanish/>
          <w:color w:val="2F2522"/>
          <w:sz w:val="28"/>
          <w:szCs w:val="28"/>
        </w:rPr>
      </w:pP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03CDB20B" w14:textId="77777777" w:rsidTr="002879C3">
        <w:trPr>
          <w:jc w:val="right"/>
        </w:trPr>
        <w:tc>
          <w:tcPr>
            <w:tcW w:w="0" w:type="auto"/>
            <w:shd w:val="clear" w:color="auto" w:fill="auto"/>
            <w:vAlign w:val="center"/>
            <w:hideMark/>
          </w:tcPr>
          <w:p w14:paraId="3F2B8658"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ب. إجراءات العمل وأساليب الاتصال والتنسيق بين الوحدات التنظيمية في الهيئة</w:t>
            </w:r>
            <w:r w:rsidRPr="00935D0B">
              <w:rPr>
                <w:rFonts w:ascii="Times New Roman" w:eastAsia="Times New Roman" w:hAnsi="Times New Roman" w:cs="Times New Roman"/>
                <w:sz w:val="28"/>
                <w:szCs w:val="28"/>
              </w:rPr>
              <w:t>.</w:t>
            </w:r>
          </w:p>
        </w:tc>
      </w:tr>
    </w:tbl>
    <w:p w14:paraId="0533FBD5" w14:textId="77777777" w:rsidR="002879C3" w:rsidRPr="00935D0B" w:rsidRDefault="002879C3" w:rsidP="00935D0B">
      <w:pPr>
        <w:shd w:val="clear" w:color="auto" w:fill="FFFFFF" w:themeFill="background1"/>
        <w:spacing w:after="0" w:line="240" w:lineRule="auto"/>
        <w:rPr>
          <w:rFonts w:ascii="Arial" w:eastAsia="Times New Roman" w:hAnsi="Arial" w:cs="Arial"/>
          <w:color w:val="2F2522"/>
          <w:sz w:val="28"/>
          <w:szCs w:val="28"/>
        </w:rPr>
      </w:pP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Pr>
        <w:br/>
      </w:r>
      <w:r w:rsidRPr="00935D0B">
        <w:rPr>
          <w:rFonts w:ascii="Arial" w:eastAsia="Times New Roman" w:hAnsi="Arial" w:cs="Arial"/>
          <w:color w:val="2F2522"/>
          <w:sz w:val="28"/>
          <w:szCs w:val="28"/>
          <w:rtl/>
        </w:rPr>
        <w:t>المادة 8</w:t>
      </w:r>
    </w:p>
    <w:tbl>
      <w:tblPr>
        <w:tblW w:w="5000" w:type="pct"/>
        <w:jc w:val="right"/>
        <w:tblCellMar>
          <w:left w:w="0" w:type="dxa"/>
          <w:right w:w="0" w:type="dxa"/>
        </w:tblCellMar>
        <w:tblLook w:val="04A0" w:firstRow="1" w:lastRow="0" w:firstColumn="1" w:lastColumn="0" w:noHBand="0" w:noVBand="1"/>
      </w:tblPr>
      <w:tblGrid>
        <w:gridCol w:w="8306"/>
      </w:tblGrid>
      <w:tr w:rsidR="002879C3" w:rsidRPr="00935D0B" w14:paraId="4B3AE048" w14:textId="77777777" w:rsidTr="002879C3">
        <w:trPr>
          <w:jc w:val="right"/>
        </w:trPr>
        <w:tc>
          <w:tcPr>
            <w:tcW w:w="0" w:type="auto"/>
            <w:shd w:val="clear" w:color="auto" w:fill="auto"/>
            <w:vAlign w:val="center"/>
            <w:hideMark/>
          </w:tcPr>
          <w:p w14:paraId="3650D7D2"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tl/>
              </w:rPr>
              <w:t>يلغى ( النظام الإداري لهيئة الأوراق المالية رقم (91) لسنة 1998 )، على أن يستمر العمل بالتعليمات والقرارات الصادرة بمقتضاه إلى أن تلغى أو تعدل أو يستبدل غيرها بها وفقا لأحكام هذا النظام</w:t>
            </w:r>
            <w:r w:rsidRPr="00935D0B">
              <w:rPr>
                <w:rFonts w:ascii="Times New Roman" w:eastAsia="Times New Roman" w:hAnsi="Times New Roman" w:cs="Times New Roman"/>
                <w:sz w:val="28"/>
                <w:szCs w:val="28"/>
              </w:rPr>
              <w:t>.</w:t>
            </w:r>
          </w:p>
          <w:p w14:paraId="56746B07" w14:textId="77777777" w:rsidR="002879C3" w:rsidRPr="00935D0B" w:rsidRDefault="002879C3" w:rsidP="002879C3">
            <w:pPr>
              <w:spacing w:after="0" w:line="240" w:lineRule="auto"/>
              <w:rPr>
                <w:rFonts w:ascii="Times New Roman" w:eastAsia="Times New Roman" w:hAnsi="Times New Roman" w:cs="Times New Roman"/>
                <w:sz w:val="28"/>
                <w:szCs w:val="28"/>
              </w:rPr>
            </w:pPr>
            <w:r w:rsidRPr="00935D0B">
              <w:rPr>
                <w:rFonts w:ascii="Times New Roman" w:eastAsia="Times New Roman" w:hAnsi="Times New Roman" w:cs="Times New Roman"/>
                <w:sz w:val="28"/>
                <w:szCs w:val="28"/>
              </w:rPr>
              <w:t> </w:t>
            </w:r>
          </w:p>
        </w:tc>
      </w:tr>
    </w:tbl>
    <w:p w14:paraId="2CBB03D9" w14:textId="77777777" w:rsidR="00917C41" w:rsidRPr="00935D0B" w:rsidRDefault="00917C41" w:rsidP="002879C3">
      <w:pPr>
        <w:rPr>
          <w:sz w:val="28"/>
          <w:szCs w:val="28"/>
        </w:rPr>
      </w:pPr>
    </w:p>
    <w:sectPr w:rsidR="00917C41" w:rsidRPr="00935D0B" w:rsidSect="0077089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06013" w14:textId="77777777" w:rsidR="003E4416" w:rsidRDefault="003E4416" w:rsidP="00935D0B">
      <w:pPr>
        <w:spacing w:after="0" w:line="240" w:lineRule="auto"/>
      </w:pPr>
      <w:r>
        <w:separator/>
      </w:r>
    </w:p>
  </w:endnote>
  <w:endnote w:type="continuationSeparator" w:id="0">
    <w:p w14:paraId="46E22D44" w14:textId="77777777" w:rsidR="003E4416" w:rsidRDefault="003E4416" w:rsidP="00935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C2B15" w14:textId="77777777" w:rsidR="003E4416" w:rsidRDefault="003E4416" w:rsidP="00935D0B">
      <w:pPr>
        <w:spacing w:after="0" w:line="240" w:lineRule="auto"/>
      </w:pPr>
      <w:r>
        <w:separator/>
      </w:r>
    </w:p>
  </w:footnote>
  <w:footnote w:type="continuationSeparator" w:id="0">
    <w:p w14:paraId="508B7FF0" w14:textId="77777777" w:rsidR="003E4416" w:rsidRDefault="003E4416" w:rsidP="00935D0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9C3"/>
    <w:rsid w:val="002879C3"/>
    <w:rsid w:val="003E4416"/>
    <w:rsid w:val="00770894"/>
    <w:rsid w:val="008939CE"/>
    <w:rsid w:val="00917C41"/>
    <w:rsid w:val="00935D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21F4F"/>
  <w15:docId w15:val="{4AF454E2-8E8F-4387-8BAE-C91CD96D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879C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35D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D0B"/>
  </w:style>
  <w:style w:type="paragraph" w:styleId="Footer">
    <w:name w:val="footer"/>
    <w:basedOn w:val="Normal"/>
    <w:link w:val="FooterChar"/>
    <w:uiPriority w:val="99"/>
    <w:unhideWhenUsed/>
    <w:rsid w:val="00935D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5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6639313">
      <w:bodyDiv w:val="1"/>
      <w:marLeft w:val="0"/>
      <w:marRight w:val="0"/>
      <w:marTop w:val="0"/>
      <w:marBottom w:val="0"/>
      <w:divBdr>
        <w:top w:val="none" w:sz="0" w:space="0" w:color="auto"/>
        <w:left w:val="none" w:sz="0" w:space="0" w:color="auto"/>
        <w:bottom w:val="none" w:sz="0" w:space="0" w:color="auto"/>
        <w:right w:val="none" w:sz="0" w:space="0" w:color="auto"/>
      </w:divBdr>
      <w:divsChild>
        <w:div w:id="2142334509">
          <w:marLeft w:val="0"/>
          <w:marRight w:val="0"/>
          <w:marTop w:val="0"/>
          <w:marBottom w:val="0"/>
          <w:divBdr>
            <w:top w:val="none" w:sz="0" w:space="0" w:color="auto"/>
            <w:left w:val="none" w:sz="0" w:space="0" w:color="auto"/>
            <w:bottom w:val="none" w:sz="0" w:space="0" w:color="auto"/>
            <w:right w:val="none" w:sz="0" w:space="0" w:color="auto"/>
          </w:divBdr>
          <w:divsChild>
            <w:div w:id="260181887">
              <w:marLeft w:val="0"/>
              <w:marRight w:val="0"/>
              <w:marTop w:val="0"/>
              <w:marBottom w:val="0"/>
              <w:divBdr>
                <w:top w:val="none" w:sz="0" w:space="0" w:color="auto"/>
                <w:left w:val="none" w:sz="0" w:space="0" w:color="auto"/>
                <w:bottom w:val="none" w:sz="0" w:space="0" w:color="auto"/>
                <w:right w:val="none" w:sz="0" w:space="0" w:color="auto"/>
              </w:divBdr>
              <w:divsChild>
                <w:div w:id="41904326">
                  <w:marLeft w:val="0"/>
                  <w:marRight w:val="0"/>
                  <w:marTop w:val="0"/>
                  <w:marBottom w:val="0"/>
                  <w:divBdr>
                    <w:top w:val="none" w:sz="0" w:space="0" w:color="auto"/>
                    <w:left w:val="none" w:sz="0" w:space="0" w:color="auto"/>
                    <w:bottom w:val="none" w:sz="0" w:space="0" w:color="auto"/>
                    <w:right w:val="none" w:sz="0" w:space="0" w:color="auto"/>
                  </w:divBdr>
                  <w:divsChild>
                    <w:div w:id="1939679219">
                      <w:marLeft w:val="0"/>
                      <w:marRight w:val="0"/>
                      <w:marTop w:val="0"/>
                      <w:marBottom w:val="0"/>
                      <w:divBdr>
                        <w:top w:val="none" w:sz="0" w:space="0" w:color="auto"/>
                        <w:left w:val="none" w:sz="0" w:space="0" w:color="auto"/>
                        <w:bottom w:val="none" w:sz="0" w:space="0" w:color="auto"/>
                        <w:right w:val="none" w:sz="0" w:space="0" w:color="auto"/>
                      </w:divBdr>
                    </w:div>
                    <w:div w:id="1073310812">
                      <w:marLeft w:val="0"/>
                      <w:marRight w:val="0"/>
                      <w:marTop w:val="0"/>
                      <w:marBottom w:val="0"/>
                      <w:divBdr>
                        <w:top w:val="none" w:sz="0" w:space="0" w:color="auto"/>
                        <w:left w:val="none" w:sz="0" w:space="0" w:color="auto"/>
                        <w:bottom w:val="none" w:sz="0" w:space="0" w:color="auto"/>
                        <w:right w:val="none" w:sz="0" w:space="0" w:color="auto"/>
                      </w:divBdr>
                    </w:div>
                    <w:div w:id="59159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539</Words>
  <Characters>3075</Characters>
  <Application>Microsoft Office Word</Application>
  <DocSecurity>0</DocSecurity>
  <Lines>25</Lines>
  <Paragraphs>7</Paragraphs>
  <ScaleCrop>false</ScaleCrop>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Hussain Hammadneh</dc:creator>
  <cp:lastModifiedBy>Hussain Hammadneh</cp:lastModifiedBy>
  <cp:revision>2</cp:revision>
  <dcterms:created xsi:type="dcterms:W3CDTF">2023-04-13T08:28:00Z</dcterms:created>
  <dcterms:modified xsi:type="dcterms:W3CDTF">2023-04-13T08:28:00Z</dcterms:modified>
</cp:coreProperties>
</file>